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color w:val="FF0000"/>
          <w:sz w:val="44"/>
          <w:szCs w:val="44"/>
        </w:rPr>
      </w:pPr>
    </w:p>
    <w:p>
      <w:pPr>
        <w:spacing w:line="360" w:lineRule="auto"/>
        <w:rPr>
          <w:rFonts w:ascii="Times New Roman" w:hAnsi="Times New Roman" w:eastAsia="黑体" w:cs="Times New Roman"/>
          <w:color w:val="FF0000"/>
          <w:sz w:val="44"/>
          <w:szCs w:val="44"/>
        </w:rPr>
      </w:pPr>
    </w:p>
    <w:p>
      <w:pPr>
        <w:spacing w:line="360" w:lineRule="auto"/>
        <w:rPr>
          <w:rFonts w:ascii="Times New Roman" w:hAnsi="Times New Roman" w:eastAsia="黑体" w:cs="Times New Roman"/>
          <w:color w:val="FF0000"/>
          <w:sz w:val="44"/>
          <w:szCs w:val="44"/>
        </w:rPr>
      </w:pPr>
    </w:p>
    <w:p>
      <w:pPr>
        <w:spacing w:line="360" w:lineRule="auto"/>
        <w:rPr>
          <w:rFonts w:ascii="Times New Roman" w:hAnsi="Times New Roman" w:eastAsia="黑体" w:cs="Times New Roman"/>
          <w:sz w:val="44"/>
          <w:szCs w:val="44"/>
        </w:rPr>
      </w:pPr>
    </w:p>
    <w:p>
      <w:pPr>
        <w:spacing w:line="360" w:lineRule="auto"/>
        <w:jc w:val="center"/>
        <w:rPr>
          <w:rFonts w:ascii="Times New Roman" w:hAnsi="Times New Roman" w:eastAsia="黑体" w:cs="Times New Roman"/>
          <w:spacing w:val="20"/>
          <w:sz w:val="52"/>
          <w:szCs w:val="52"/>
        </w:rPr>
      </w:pPr>
      <w:r>
        <w:rPr>
          <w:rFonts w:ascii="Times New Roman" w:hAnsi="Times New Roman" w:eastAsia="黑体" w:cs="Times New Roman"/>
          <w:spacing w:val="20"/>
          <w:sz w:val="52"/>
          <w:szCs w:val="52"/>
        </w:rPr>
        <w:t>生产建设项目水土保持设施</w:t>
      </w:r>
    </w:p>
    <w:p>
      <w:pPr>
        <w:spacing w:before="312" w:beforeLines="100" w:line="360" w:lineRule="auto"/>
        <w:jc w:val="center"/>
        <w:rPr>
          <w:rFonts w:ascii="楷体" w:hAnsi="楷体" w:eastAsia="楷体" w:cs="Times New Roman"/>
          <w:sz w:val="84"/>
          <w:szCs w:val="84"/>
        </w:rPr>
      </w:pPr>
      <w:r>
        <w:rPr>
          <w:rFonts w:ascii="楷体" w:hAnsi="楷体" w:eastAsia="楷体" w:cs="Times New Roman"/>
          <w:sz w:val="84"/>
          <w:szCs w:val="84"/>
        </w:rPr>
        <w:t>验收鉴定书</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4"/>
        </w:rPr>
      </w:pPr>
    </w:p>
    <w:p>
      <w:pPr>
        <w:spacing w:line="360" w:lineRule="auto"/>
        <w:ind w:left="1830" w:leftChars="336" w:hanging="1124" w:hangingChars="400"/>
        <w:rPr>
          <w:rFonts w:ascii="Times New Roman" w:hAnsi="Times New Roman" w:eastAsia="宋体" w:cs="Times New Roman"/>
          <w:b/>
          <w:sz w:val="28"/>
          <w:szCs w:val="28"/>
          <w:u w:val="thick"/>
        </w:rPr>
      </w:pPr>
      <w:r>
        <w:rPr>
          <w:rFonts w:ascii="Times New Roman" w:hAnsi="Times New Roman" w:eastAsia="宋体" w:cs="Times New Roman"/>
          <w:b/>
          <w:sz w:val="28"/>
          <w:szCs w:val="28"/>
        </w:rPr>
        <w:t>项目名称：</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thick"/>
        </w:rPr>
        <w:t xml:space="preserve">乳酸、聚乳酸工艺研发及设备制造项目 </w:t>
      </w:r>
    </w:p>
    <w:p>
      <w:pPr>
        <w:spacing w:line="360" w:lineRule="auto"/>
        <w:ind w:firstLine="663" w:firstLineChars="236"/>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rPr>
        <w:t>项目编号</w:t>
      </w:r>
      <w:r>
        <w:rPr>
          <w:rFonts w:ascii="Times New Roman" w:hAnsi="Times New Roman" w:eastAsia="宋体" w:cs="Times New Roman"/>
          <w:b/>
          <w:sz w:val="28"/>
          <w:szCs w:val="28"/>
        </w:rPr>
        <w:t>：</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2108-120112-89-01-846657       </w:t>
      </w:r>
    </w:p>
    <w:p>
      <w:pPr>
        <w:spacing w:line="360" w:lineRule="auto"/>
        <w:ind w:firstLine="663" w:firstLineChars="236"/>
        <w:rPr>
          <w:rFonts w:ascii="Times New Roman" w:hAnsi="Times New Roman" w:eastAsia="宋体" w:cs="Times New Roman"/>
          <w:b/>
          <w:sz w:val="28"/>
          <w:szCs w:val="28"/>
          <w:u w:val="single"/>
        </w:rPr>
      </w:pPr>
      <w:r>
        <w:rPr>
          <w:rFonts w:ascii="Times New Roman" w:hAnsi="Times New Roman" w:eastAsia="宋体" w:cs="Times New Roman"/>
          <w:b/>
          <w:sz w:val="28"/>
          <w:szCs w:val="28"/>
        </w:rPr>
        <w:t>建设地点</w:t>
      </w:r>
      <w:r>
        <w:rPr>
          <w:rFonts w:ascii="Times New Roman" w:hAnsi="Times New Roman" w:eastAsia="宋体" w:cs="Times New Roman"/>
          <w:b/>
          <w:spacing w:val="10"/>
          <w:sz w:val="28"/>
          <w:szCs w:val="28"/>
        </w:rPr>
        <w:t>：</w:t>
      </w:r>
      <w:r>
        <w:rPr>
          <w:rFonts w:hint="eastAsia" w:ascii="Times New Roman" w:hAnsi="Times New Roman" w:eastAsia="宋体" w:cs="Times New Roman"/>
          <w:b/>
          <w:spacing w:val="10"/>
          <w:sz w:val="28"/>
          <w:szCs w:val="28"/>
          <w:u w:val="single"/>
        </w:rPr>
        <w:t xml:space="preserve"> </w:t>
      </w:r>
      <w:r>
        <w:rPr>
          <w:rFonts w:ascii="Times New Roman" w:hAnsi="Times New Roman" w:eastAsia="宋体" w:cs="Times New Roman"/>
          <w:b/>
          <w:spacing w:val="10"/>
          <w:sz w:val="28"/>
          <w:szCs w:val="28"/>
          <w:u w:val="single"/>
        </w:rPr>
        <w:t xml:space="preserve">          </w:t>
      </w:r>
      <w:r>
        <w:rPr>
          <w:rFonts w:ascii="Times New Roman" w:hAnsi="Times New Roman" w:eastAsia="宋体" w:cs="Times New Roman"/>
          <w:b/>
          <w:sz w:val="28"/>
          <w:szCs w:val="28"/>
          <w:u w:val="single"/>
        </w:rPr>
        <w:t>天津市</w:t>
      </w:r>
      <w:r>
        <w:rPr>
          <w:rFonts w:hint="eastAsia" w:ascii="Times New Roman" w:hAnsi="Times New Roman" w:eastAsia="宋体" w:cs="Times New Roman"/>
          <w:b/>
          <w:sz w:val="28"/>
          <w:szCs w:val="28"/>
          <w:u w:val="single"/>
        </w:rPr>
        <w:t xml:space="preserve">津南区 </w:t>
      </w:r>
      <w:r>
        <w:rPr>
          <w:rFonts w:ascii="Times New Roman" w:hAnsi="Times New Roman" w:eastAsia="宋体" w:cs="Times New Roman"/>
          <w:b/>
          <w:sz w:val="28"/>
          <w:szCs w:val="28"/>
          <w:u w:val="single"/>
        </w:rPr>
        <w:t xml:space="preserve">             </w:t>
      </w:r>
    </w:p>
    <w:p>
      <w:pPr>
        <w:spacing w:line="360" w:lineRule="auto"/>
        <w:ind w:firstLine="708" w:firstLineChars="252"/>
        <w:rPr>
          <w:rFonts w:ascii="Times New Roman" w:hAnsi="Times New Roman" w:eastAsia="宋体" w:cs="Times New Roman"/>
          <w:b/>
          <w:sz w:val="28"/>
          <w:szCs w:val="28"/>
          <w:u w:val="single"/>
        </w:rPr>
      </w:pPr>
      <w:r>
        <w:rPr>
          <w:rFonts w:ascii="Times New Roman" w:hAnsi="Times New Roman" w:eastAsia="宋体" w:cs="Times New Roman"/>
          <w:b/>
          <w:sz w:val="28"/>
          <w:szCs w:val="28"/>
        </w:rPr>
        <w:t>验收单位：</w:t>
      </w:r>
      <w:r>
        <w:rPr>
          <w:rFonts w:hint="eastAsia" w:ascii="Times New Roman" w:hAnsi="Times New Roman" w:eastAsia="宋体" w:cs="Times New Roman"/>
          <w:b/>
          <w:sz w:val="28"/>
          <w:szCs w:val="28"/>
          <w:u w:val="thick"/>
        </w:rPr>
        <w:t xml:space="preserve"> </w:t>
      </w:r>
      <w:r>
        <w:rPr>
          <w:rFonts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rPr>
        <w:t xml:space="preserve">欧尚元（天津）有限公司 </w:t>
      </w:r>
      <w:r>
        <w:rPr>
          <w:rFonts w:ascii="Times New Roman" w:hAnsi="Times New Roman" w:eastAsia="宋体" w:cs="Times New Roman"/>
          <w:b/>
          <w:sz w:val="28"/>
          <w:szCs w:val="28"/>
          <w:u w:val="thick"/>
        </w:rPr>
        <w:t xml:space="preserve">        </w:t>
      </w:r>
    </w:p>
    <w:p>
      <w:pPr>
        <w:snapToGrid w:val="0"/>
        <w:ind w:firstLine="660" w:firstLineChars="236"/>
        <w:jc w:val="center"/>
        <w:rPr>
          <w:rFonts w:ascii="Times New Roman" w:hAnsi="Times New Roman" w:eastAsia="宋体" w:cs="Times New Roman"/>
          <w:color w:val="FF0000"/>
          <w:sz w:val="28"/>
          <w:szCs w:val="28"/>
        </w:rPr>
      </w:pP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u w:val="single"/>
        </w:rPr>
        <w:t>2024</w:t>
      </w:r>
      <w:r>
        <w:rPr>
          <w:rFonts w:ascii="Times New Roman" w:hAnsi="Times New Roman" w:eastAsia="宋体" w:cs="Times New Roman"/>
          <w:b/>
          <w:sz w:val="28"/>
          <w:szCs w:val="28"/>
        </w:rPr>
        <w:t>年</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1</w:t>
      </w:r>
      <w:r>
        <w:rPr>
          <w:rFonts w:ascii="Times New Roman" w:hAnsi="Times New Roman" w:eastAsia="宋体" w:cs="Times New Roman"/>
          <w:b/>
          <w:sz w:val="28"/>
          <w:szCs w:val="28"/>
        </w:rPr>
        <w:t>月</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val="en-US" w:eastAsia="zh-CN"/>
        </w:rPr>
        <w:t>10</w:t>
      </w:r>
      <w:r>
        <w:rPr>
          <w:rFonts w:ascii="Times New Roman" w:hAnsi="Times New Roman" w:eastAsia="宋体" w:cs="Times New Roman"/>
          <w:b/>
          <w:sz w:val="28"/>
          <w:szCs w:val="28"/>
        </w:rPr>
        <w:t>日</w:t>
      </w:r>
    </w:p>
    <w:p>
      <w:pPr>
        <w:spacing w:line="360" w:lineRule="auto"/>
        <w:jc w:val="center"/>
        <w:rPr>
          <w:rFonts w:ascii="Times New Roman" w:hAnsi="Times New Roman" w:eastAsia="宋体" w:cs="Times New Roman"/>
          <w:b/>
          <w:color w:val="FF0000"/>
          <w:sz w:val="28"/>
          <w:szCs w:val="28"/>
        </w:rPr>
      </w:pPr>
    </w:p>
    <w:p>
      <w:pPr>
        <w:spacing w:before="312" w:beforeLines="100" w:line="360" w:lineRule="auto"/>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一、生产建设项目水土保持设施验收基本情况表</w:t>
      </w:r>
    </w:p>
    <w:tbl>
      <w:tblPr>
        <w:tblStyle w:val="7"/>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3685"/>
        <w:gridCol w:w="851"/>
        <w:gridCol w:w="1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679" w:type="dxa"/>
            <w:vAlign w:val="center"/>
          </w:tcPr>
          <w:p>
            <w:pPr>
              <w:jc w:val="center"/>
              <w:rPr>
                <w:rFonts w:ascii="宋体" w:hAnsi="宋体" w:eastAsia="宋体" w:cs="Times New Roman"/>
                <w:sz w:val="24"/>
                <w:szCs w:val="24"/>
              </w:rPr>
            </w:pPr>
            <w:bookmarkStart w:id="0" w:name="_Hlk23149604"/>
            <w:r>
              <w:rPr>
                <w:rFonts w:ascii="宋体" w:hAnsi="宋体" w:eastAsia="宋体" w:cs="Times New Roman"/>
                <w:sz w:val="24"/>
                <w:szCs w:val="24"/>
              </w:rPr>
              <w:t>项目名称</w:t>
            </w:r>
          </w:p>
        </w:tc>
        <w:tc>
          <w:tcPr>
            <w:tcW w:w="3685"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乳酸、聚乳酸工艺研发及设备制造项目</w:t>
            </w:r>
          </w:p>
        </w:tc>
        <w:tc>
          <w:tcPr>
            <w:tcW w:w="851" w:type="dxa"/>
            <w:vAlign w:val="center"/>
          </w:tcPr>
          <w:p>
            <w:pPr>
              <w:jc w:val="center"/>
              <w:rPr>
                <w:rFonts w:ascii="宋体" w:hAnsi="宋体" w:eastAsia="宋体" w:cs="Times New Roman"/>
                <w:sz w:val="24"/>
                <w:szCs w:val="24"/>
              </w:rPr>
            </w:pPr>
            <w:r>
              <w:rPr>
                <w:rFonts w:ascii="宋体" w:hAnsi="宋体" w:eastAsia="宋体" w:cs="Times New Roman"/>
                <w:sz w:val="24"/>
                <w:szCs w:val="24"/>
              </w:rPr>
              <w:t>行业类别</w:t>
            </w:r>
          </w:p>
        </w:tc>
        <w:tc>
          <w:tcPr>
            <w:tcW w:w="106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加工制造类项目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679" w:type="dxa"/>
            <w:vAlign w:val="center"/>
          </w:tcPr>
          <w:p>
            <w:pPr>
              <w:jc w:val="center"/>
              <w:rPr>
                <w:rFonts w:ascii="宋体" w:hAnsi="宋体" w:eastAsia="宋体" w:cs="Times New Roman"/>
                <w:sz w:val="24"/>
                <w:szCs w:val="24"/>
              </w:rPr>
            </w:pPr>
            <w:r>
              <w:rPr>
                <w:rFonts w:ascii="宋体" w:hAnsi="宋体" w:eastAsia="宋体" w:cs="Times New Roman"/>
                <w:sz w:val="24"/>
                <w:szCs w:val="24"/>
              </w:rPr>
              <w:t>主管部门</w:t>
            </w:r>
          </w:p>
          <w:p>
            <w:pPr>
              <w:jc w:val="center"/>
              <w:rPr>
                <w:rFonts w:ascii="宋体" w:hAnsi="宋体" w:eastAsia="宋体" w:cs="Times New Roman"/>
                <w:sz w:val="24"/>
                <w:szCs w:val="24"/>
              </w:rPr>
            </w:pPr>
            <w:r>
              <w:rPr>
                <w:rFonts w:ascii="宋体" w:hAnsi="宋体" w:eastAsia="宋体" w:cs="Times New Roman"/>
                <w:sz w:val="24"/>
                <w:szCs w:val="24"/>
              </w:rPr>
              <w:t>（或主要投资人）</w:t>
            </w:r>
          </w:p>
        </w:tc>
        <w:tc>
          <w:tcPr>
            <w:tcW w:w="3685"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欧尚元（天津）有限公司  </w:t>
            </w:r>
          </w:p>
        </w:tc>
        <w:tc>
          <w:tcPr>
            <w:tcW w:w="851" w:type="dxa"/>
            <w:vAlign w:val="center"/>
          </w:tcPr>
          <w:p>
            <w:pPr>
              <w:jc w:val="center"/>
              <w:rPr>
                <w:rFonts w:ascii="宋体" w:hAnsi="宋体" w:eastAsia="宋体" w:cs="Times New Roman"/>
                <w:sz w:val="24"/>
                <w:szCs w:val="24"/>
              </w:rPr>
            </w:pPr>
            <w:r>
              <w:rPr>
                <w:rFonts w:ascii="宋体" w:hAnsi="宋体" w:eastAsia="宋体" w:cs="Times New Roman"/>
                <w:sz w:val="24"/>
                <w:szCs w:val="24"/>
              </w:rPr>
              <w:t>项目性质</w:t>
            </w:r>
          </w:p>
        </w:tc>
        <w:tc>
          <w:tcPr>
            <w:tcW w:w="106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679" w:type="dxa"/>
            <w:vAlign w:val="center"/>
          </w:tcPr>
          <w:p>
            <w:pPr>
              <w:jc w:val="center"/>
              <w:rPr>
                <w:rFonts w:ascii="宋体" w:hAnsi="宋体" w:eastAsia="宋体" w:cs="Times New Roman"/>
                <w:sz w:val="24"/>
                <w:szCs w:val="24"/>
              </w:rPr>
            </w:pPr>
            <w:r>
              <w:rPr>
                <w:rFonts w:ascii="宋体" w:hAnsi="宋体" w:eastAsia="宋体" w:cs="Times New Roman"/>
                <w:sz w:val="24"/>
                <w:szCs w:val="24"/>
              </w:rPr>
              <w:t>水土保持方案</w:t>
            </w:r>
            <w:r>
              <w:rPr>
                <w:rFonts w:hint="eastAsia" w:ascii="宋体" w:hAnsi="宋体" w:eastAsia="宋体" w:cs="Times New Roman"/>
                <w:sz w:val="24"/>
                <w:szCs w:val="24"/>
              </w:rPr>
              <w:t>批复机关、文号</w:t>
            </w:r>
            <w:r>
              <w:rPr>
                <w:rFonts w:ascii="宋体" w:hAnsi="宋体" w:eastAsia="宋体" w:cs="Times New Roman"/>
                <w:sz w:val="24"/>
                <w:szCs w:val="24"/>
              </w:rPr>
              <w:t>及时间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天津市津南区行政审批局 </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20220729111222026232</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2022.7.29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水土保持方案变更批复机关、文号及时间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水土保持初步设计批复机关、文号及时间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项目建设起止时间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022.8~2024.1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水土保持方案编制单位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天津津水泓源工程咨询有限公司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水土保持初步设计单位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天津市新型建材建筑设计研究院有限公司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水土保持监测单位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天津津水泓源工程咨询有限公司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水土保持施工单位</w:t>
            </w:r>
          </w:p>
        </w:tc>
        <w:tc>
          <w:tcPr>
            <w:tcW w:w="5597" w:type="dxa"/>
            <w:gridSpan w:val="3"/>
            <w:vAlign w:val="center"/>
          </w:tcPr>
          <w:p>
            <w:pPr>
              <w:adjustRightInd w:val="0"/>
              <w:snapToGrid w:val="0"/>
              <w:jc w:val="center"/>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中国建筑第六工程局有限公司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水土保持监理单位</w:t>
            </w:r>
          </w:p>
        </w:tc>
        <w:tc>
          <w:tcPr>
            <w:tcW w:w="5597" w:type="dxa"/>
            <w:gridSpan w:val="3"/>
            <w:vAlign w:val="center"/>
          </w:tcPr>
          <w:p>
            <w:pPr>
              <w:adjustRightInd w:val="0"/>
              <w:snapToGrid w:val="0"/>
              <w:jc w:val="center"/>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天津国际工程建设监理有限公司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水土保持设施验收</w:t>
            </w:r>
          </w:p>
          <w:p>
            <w:pPr>
              <w:jc w:val="center"/>
              <w:rPr>
                <w:rFonts w:ascii="宋体" w:hAnsi="宋体" w:eastAsia="宋体" w:cs="Times New Roman"/>
                <w:sz w:val="24"/>
                <w:szCs w:val="24"/>
              </w:rPr>
            </w:pPr>
            <w:r>
              <w:rPr>
                <w:rFonts w:hint="eastAsia" w:ascii="宋体" w:hAnsi="宋体" w:eastAsia="宋体" w:cs="Times New Roman"/>
                <w:sz w:val="24"/>
                <w:szCs w:val="24"/>
              </w:rPr>
              <w:t>报告编制单位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天津津水泓源工程咨询有限公司</w:t>
            </w:r>
          </w:p>
        </w:tc>
      </w:tr>
      <w:bookmarkEnd w:id="0"/>
    </w:tbl>
    <w:p>
      <w:pPr>
        <w:spacing w:line="360" w:lineRule="auto"/>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二、验收意见</w:t>
      </w:r>
    </w:p>
    <w:tbl>
      <w:tblPr>
        <w:tblStyle w:val="7"/>
        <w:tblW w:w="827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276" w:type="dxa"/>
            <w:vAlign w:val="center"/>
          </w:tcPr>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根据《水利部关于加强事中事后监管规范生产建设项目水土保持设施自主验收的通知》（水保[2017]365号）</w:t>
            </w:r>
            <w:r>
              <w:rPr>
                <w:rFonts w:hint="eastAsia" w:ascii="Times New Roman" w:hAnsi="Times New Roman" w:eastAsia="仿宋_GB2312" w:cs="Times New Roman"/>
                <w:sz w:val="30"/>
                <w:szCs w:val="30"/>
              </w:rPr>
              <w:t>和《天津市水务局关于印发进一步深化放管服改革全面加强水土保持监管实施意见的通知》（津水政服</w:t>
            </w:r>
            <w:r>
              <w:rPr>
                <w:rFonts w:ascii="Times New Roman" w:hAnsi="Times New Roman" w:eastAsia="仿宋_GB2312" w:cs="Times New Roman"/>
                <w:sz w:val="30"/>
                <w:szCs w:val="30"/>
              </w:rPr>
              <w:t>[2019]1号）等相关文件的规定，</w:t>
            </w:r>
            <w:r>
              <w:rPr>
                <w:rFonts w:hint="eastAsia" w:ascii="Times New Roman" w:hAnsi="Times New Roman" w:eastAsia="仿宋_GB2312" w:cs="Times New Roman"/>
                <w:sz w:val="30"/>
                <w:szCs w:val="30"/>
              </w:rPr>
              <w:t>欧尚元（天津）有限公司于2</w:t>
            </w:r>
            <w:r>
              <w:rPr>
                <w:rFonts w:ascii="Times New Roman" w:hAnsi="Times New Roman" w:eastAsia="仿宋_GB2312" w:cs="Times New Roman"/>
                <w:sz w:val="30"/>
                <w:szCs w:val="30"/>
              </w:rPr>
              <w:t>024</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月</w:t>
            </w:r>
            <w:r>
              <w:rPr>
                <w:rFonts w:hint="eastAsia" w:ascii="Times New Roman" w:hAnsi="Times New Roman" w:eastAsia="仿宋_GB2312" w:cs="Times New Roman"/>
                <w:color w:val="auto"/>
                <w:sz w:val="30"/>
                <w:szCs w:val="30"/>
                <w:lang w:val="en-US" w:eastAsia="zh-CN"/>
              </w:rPr>
              <w:t>10</w:t>
            </w:r>
            <w:r>
              <w:rPr>
                <w:rFonts w:hint="eastAsia" w:ascii="Times New Roman" w:hAnsi="Times New Roman" w:eastAsia="仿宋_GB2312" w:cs="Times New Roman"/>
                <w:color w:val="auto"/>
                <w:sz w:val="30"/>
                <w:szCs w:val="30"/>
              </w:rPr>
              <w:t>日对乳酸、</w:t>
            </w:r>
            <w:r>
              <w:rPr>
                <w:rFonts w:hint="eastAsia" w:ascii="Times New Roman" w:hAnsi="Times New Roman" w:eastAsia="仿宋_GB2312" w:cs="Times New Roman"/>
                <w:sz w:val="30"/>
                <w:szCs w:val="30"/>
              </w:rPr>
              <w:t>聚乳酸工艺研发及设备制造项目进行了水土保持设施自主验收，参加会议的有：欧尚元（天津）有限公司、中国建筑第六工程局有限公司、天津国际工程建设监理有限公司、天津津水泓源工程咨询有限公司等单位的代表及特邀专家，会议成立了验收组（名单附后）。</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验收组及专家查阅了技术资料，并对工程现场进行了实地勘查，听取了建设单位、水土保持监测单位、</w:t>
            </w:r>
            <w:r>
              <w:rPr>
                <w:rFonts w:hint="eastAsia" w:ascii="Times New Roman" w:hAnsi="Times New Roman" w:eastAsia="仿宋_GB2312" w:cs="Times New Roman"/>
                <w:sz w:val="30"/>
                <w:szCs w:val="30"/>
              </w:rPr>
              <w:t>水土保持设施验收报告</w:t>
            </w:r>
            <w:r>
              <w:rPr>
                <w:rFonts w:ascii="Times New Roman" w:hAnsi="Times New Roman" w:eastAsia="仿宋_GB2312" w:cs="Times New Roman"/>
                <w:sz w:val="30"/>
                <w:szCs w:val="30"/>
              </w:rPr>
              <w:t>编制单位关于水土保持方案实施情况、水土保持监测情况和</w:t>
            </w:r>
            <w:r>
              <w:rPr>
                <w:rFonts w:hint="eastAsia" w:ascii="Times New Roman" w:hAnsi="Times New Roman" w:eastAsia="仿宋_GB2312" w:cs="Times New Roman"/>
                <w:sz w:val="30"/>
                <w:szCs w:val="30"/>
              </w:rPr>
              <w:t>水土保持验收</w:t>
            </w:r>
            <w:r>
              <w:rPr>
                <w:rFonts w:ascii="Times New Roman" w:hAnsi="Times New Roman" w:eastAsia="仿宋_GB2312" w:cs="Times New Roman"/>
                <w:sz w:val="30"/>
                <w:szCs w:val="30"/>
              </w:rPr>
              <w:t>报告情况的汇报，经质询、讨论，形成</w:t>
            </w:r>
            <w:r>
              <w:rPr>
                <w:rFonts w:hint="eastAsia" w:ascii="Times New Roman" w:hAnsi="Times New Roman" w:eastAsia="仿宋_GB2312" w:cs="Times New Roman"/>
                <w:sz w:val="30"/>
                <w:szCs w:val="30"/>
              </w:rPr>
              <w:t>乳酸、聚乳酸工艺研发及设备制造项目水土保持设施</w:t>
            </w:r>
            <w:r>
              <w:rPr>
                <w:rFonts w:ascii="Times New Roman" w:hAnsi="Times New Roman" w:eastAsia="仿宋_GB2312" w:cs="Times New Roman"/>
                <w:sz w:val="30"/>
                <w:szCs w:val="30"/>
              </w:rPr>
              <w:t>验收意见</w:t>
            </w:r>
            <w:r>
              <w:rPr>
                <w:rFonts w:hint="eastAsia" w:ascii="Times New Roman" w:hAnsi="Times New Roman" w:eastAsia="仿宋_GB2312" w:cs="Times New Roman"/>
                <w:sz w:val="30"/>
                <w:szCs w:val="30"/>
              </w:rPr>
              <w:t>如下：</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（一）项目概况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项目位于</w:t>
            </w:r>
            <w:r>
              <w:rPr>
                <w:rFonts w:hint="eastAsia" w:ascii="Times New Roman" w:hAnsi="Times New Roman" w:eastAsia="仿宋_GB2312" w:cs="Times New Roman"/>
                <w:sz w:val="30"/>
                <w:szCs w:val="30"/>
              </w:rPr>
              <w:t>天津市津南区双港镇，睿深道与慧科路交口。工程主要建设内容包括</w:t>
            </w:r>
            <w:bookmarkStart w:id="1" w:name="_Hlk78983290"/>
            <w:r>
              <w:rPr>
                <w:rFonts w:hint="eastAsia" w:ascii="Times New Roman" w:hAnsi="Times New Roman" w:eastAsia="仿宋_GB2312" w:cs="Times New Roman"/>
                <w:sz w:val="30"/>
                <w:szCs w:val="30"/>
              </w:rPr>
              <w:t>新建</w:t>
            </w:r>
            <w:r>
              <w:rPr>
                <w:rFonts w:ascii="Times New Roman" w:hAnsi="Times New Roman" w:eastAsia="仿宋_GB2312" w:cs="Times New Roman"/>
                <w:sz w:val="30"/>
                <w:szCs w:val="30"/>
              </w:rPr>
              <w:t>1栋7F宿舍楼，1栋12F宿舍楼、1栋6F办公楼、1栋4F办公楼、1栋2F生产车间、2栋1F生产车间及2栋1F门卫室；地下建筑主要是消防处理池消防水池泵房</w:t>
            </w:r>
            <w:r>
              <w:rPr>
                <w:rFonts w:hint="eastAsia" w:ascii="Times New Roman" w:hAnsi="Times New Roman" w:eastAsia="仿宋_GB2312" w:cs="Times New Roman"/>
                <w:sz w:val="30"/>
                <w:szCs w:val="30"/>
              </w:rPr>
              <w:t>，总建筑面积42838.92m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，其中地上面积42031.20</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，地下建筑面积807.72</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项目建筑密度57.57%，容积</w:t>
            </w:r>
            <w:bookmarkStart w:id="2" w:name="_GoBack"/>
            <w:bookmarkEnd w:id="2"/>
            <w:r>
              <w:rPr>
                <w:rFonts w:ascii="Times New Roman" w:hAnsi="Times New Roman" w:eastAsia="仿宋_GB2312" w:cs="Times New Roman"/>
                <w:sz w:val="30"/>
                <w:szCs w:val="30"/>
              </w:rPr>
              <w:t>1.44，绿地率 20%</w:t>
            </w:r>
            <w:bookmarkEnd w:id="1"/>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项目总占地</w:t>
            </w:r>
            <w:r>
              <w:rPr>
                <w:rFonts w:ascii="Times New Roman" w:hAnsi="Times New Roman" w:eastAsia="仿宋_GB2312" w:cs="Times New Roman"/>
                <w:sz w:val="30"/>
                <w:szCs w:val="30"/>
              </w:rPr>
              <w:t>3.79</w:t>
            </w:r>
            <w:r>
              <w:rPr>
                <w:rFonts w:hint="eastAsia" w:ascii="Times New Roman" w:hAnsi="Times New Roman" w:eastAsia="仿宋_GB2312" w:cs="Times New Roman"/>
                <w:sz w:val="30"/>
                <w:szCs w:val="30"/>
              </w:rPr>
              <w:t>h</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其中永久占地3.71hm</w:t>
            </w:r>
            <w:r>
              <w:rPr>
                <w:rFonts w:ascii="Times New Roman" w:hAnsi="Times New Roman" w:eastAsia="仿宋_GB2312" w:cs="Times New Roman"/>
                <w:sz w:val="30"/>
                <w:szCs w:val="30"/>
                <w:vertAlign w:val="superscript"/>
              </w:rPr>
              <w:t>2</w:t>
            </w:r>
            <w:r>
              <w:rPr>
                <w:rFonts w:ascii="Times New Roman" w:hAnsi="Times New Roman" w:eastAsia="仿宋_GB2312" w:cs="Times New Roman"/>
                <w:sz w:val="30"/>
                <w:szCs w:val="30"/>
              </w:rPr>
              <w:t>，临时占地0.08hm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工程</w:t>
            </w:r>
            <w:r>
              <w:rPr>
                <w:rFonts w:hint="eastAsia" w:ascii="Times New Roman" w:hAnsi="Times New Roman" w:eastAsia="仿宋_GB2312" w:cs="Times New Roman"/>
                <w:sz w:val="30"/>
                <w:szCs w:val="30"/>
              </w:rPr>
              <w:t>土石方挖填总量</w:t>
            </w:r>
            <w:r>
              <w:rPr>
                <w:rFonts w:ascii="Times New Roman" w:hAnsi="Times New Roman" w:eastAsia="仿宋_GB2312" w:cs="Times New Roman"/>
                <w:sz w:val="30"/>
                <w:szCs w:val="30"/>
              </w:rPr>
              <w:t>4.362万m</w:t>
            </w:r>
            <w:r>
              <w:rPr>
                <w:rFonts w:ascii="Times New Roman" w:hAnsi="Times New Roman" w:eastAsia="仿宋_GB2312" w:cs="Times New Roman"/>
                <w:sz w:val="30"/>
                <w:szCs w:val="30"/>
                <w:vertAlign w:val="superscript"/>
              </w:rPr>
              <w:t>3</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其中</w:t>
            </w:r>
            <w:r>
              <w:rPr>
                <w:rFonts w:hint="eastAsia" w:ascii="Times New Roman" w:hAnsi="Times New Roman" w:eastAsia="仿宋_GB2312" w:cs="Times New Roman"/>
                <w:sz w:val="30"/>
                <w:szCs w:val="30"/>
              </w:rPr>
              <w:t>项目共计挖方</w:t>
            </w:r>
            <w:r>
              <w:rPr>
                <w:rFonts w:ascii="Times New Roman" w:hAnsi="Times New Roman" w:eastAsia="仿宋_GB2312" w:cs="Times New Roman"/>
                <w:sz w:val="30"/>
                <w:szCs w:val="30"/>
              </w:rPr>
              <w:t>1.442</w:t>
            </w:r>
            <w:r>
              <w:rPr>
                <w:rFonts w:hint="eastAsia" w:ascii="Times New Roman" w:hAnsi="Times New Roman" w:eastAsia="仿宋_GB2312" w:cs="Times New Roman"/>
                <w:sz w:val="30"/>
                <w:szCs w:val="30"/>
              </w:rPr>
              <w:t>万</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均为一般土方</w:t>
            </w:r>
            <w:r>
              <w:rPr>
                <w:rFonts w:ascii="Times New Roman" w:hAnsi="Times New Roman" w:eastAsia="仿宋_GB2312" w:cs="Times New Roman"/>
                <w:sz w:val="30"/>
                <w:szCs w:val="30"/>
              </w:rPr>
              <w:t>；填方</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.92</w:t>
            </w:r>
            <w:r>
              <w:rPr>
                <w:rFonts w:hint="eastAsia" w:ascii="Times New Roman" w:hAnsi="Times New Roman" w:eastAsia="仿宋_GB2312" w:cs="Times New Roman"/>
                <w:sz w:val="30"/>
                <w:szCs w:val="30"/>
              </w:rPr>
              <w:t>万</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其中种植土0</w:t>
            </w:r>
            <w:r>
              <w:rPr>
                <w:rFonts w:ascii="Times New Roman" w:hAnsi="Times New Roman" w:eastAsia="仿宋_GB2312" w:cs="Times New Roman"/>
                <w:sz w:val="30"/>
                <w:szCs w:val="30"/>
              </w:rPr>
              <w:t>.22</w:t>
            </w:r>
            <w:r>
              <w:rPr>
                <w:rFonts w:hint="eastAsia" w:ascii="Times New Roman" w:hAnsi="Times New Roman" w:eastAsia="仿宋_GB2312" w:cs="Times New Roman"/>
                <w:sz w:val="30"/>
                <w:szCs w:val="30"/>
              </w:rPr>
              <w:t>万</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一般土方</w:t>
            </w:r>
            <w:r>
              <w:rPr>
                <w:rFonts w:ascii="Times New Roman" w:hAnsi="Times New Roman" w:eastAsia="仿宋_GB2312" w:cs="Times New Roman"/>
                <w:sz w:val="30"/>
                <w:szCs w:val="30"/>
              </w:rPr>
              <w:t>2.70</w:t>
            </w:r>
            <w:r>
              <w:rPr>
                <w:rFonts w:hint="eastAsia" w:ascii="Times New Roman" w:hAnsi="Times New Roman" w:eastAsia="仿宋_GB2312" w:cs="Times New Roman"/>
                <w:sz w:val="30"/>
                <w:szCs w:val="30"/>
              </w:rPr>
              <w:t>万</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；借方1.50</w:t>
            </w:r>
            <w:r>
              <w:rPr>
                <w:rFonts w:hint="eastAsia" w:ascii="Times New Roman" w:hAnsi="Times New Roman" w:eastAsia="仿宋_GB2312" w:cs="Times New Roman"/>
                <w:sz w:val="30"/>
                <w:szCs w:val="30"/>
              </w:rPr>
              <w:t>万</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其中种植土</w:t>
            </w:r>
            <w:r>
              <w:rPr>
                <w:rFonts w:ascii="Times New Roman" w:hAnsi="Times New Roman" w:eastAsia="仿宋_GB2312" w:cs="Times New Roman"/>
                <w:sz w:val="30"/>
                <w:szCs w:val="30"/>
              </w:rPr>
              <w:t>0.22万m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一般土方</w:t>
            </w:r>
            <w:r>
              <w:rPr>
                <w:rFonts w:ascii="Times New Roman" w:hAnsi="Times New Roman" w:eastAsia="仿宋_GB2312" w:cs="Times New Roman"/>
                <w:sz w:val="30"/>
                <w:szCs w:val="30"/>
              </w:rPr>
              <w:t>1.28万m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ascii="Times New Roman" w:hAnsi="Times New Roman" w:eastAsia="仿宋_GB2312" w:cs="Times New Roman"/>
                <w:color w:val="auto"/>
                <w:sz w:val="30"/>
                <w:szCs w:val="30"/>
              </w:rPr>
              <w:t>弃方</w:t>
            </w:r>
            <w:r>
              <w:rPr>
                <w:rFonts w:hint="eastAsia" w:ascii="Times New Roman" w:hAnsi="Times New Roman" w:eastAsia="仿宋_GB2312" w:cs="Times New Roman"/>
                <w:color w:val="auto"/>
                <w:sz w:val="30"/>
                <w:szCs w:val="30"/>
              </w:rPr>
              <w:t>0</w:t>
            </w:r>
            <w:r>
              <w:rPr>
                <w:rFonts w:ascii="Times New Roman" w:hAnsi="Times New Roman" w:eastAsia="仿宋_GB2312" w:cs="Times New Roman"/>
                <w:color w:val="auto"/>
                <w:sz w:val="30"/>
                <w:szCs w:val="30"/>
              </w:rPr>
              <w:t>.002万</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，均为建筑垃圾。</w:t>
            </w:r>
            <w:r>
              <w:rPr>
                <w:rFonts w:hint="eastAsia" w:ascii="Times New Roman" w:hAnsi="Times New Roman" w:eastAsia="仿宋_GB2312" w:cs="Times New Roman"/>
                <w:sz w:val="30"/>
                <w:szCs w:val="30"/>
              </w:rPr>
              <w:t>工程于2</w:t>
            </w:r>
            <w:r>
              <w:rPr>
                <w:rFonts w:ascii="Times New Roman" w:hAnsi="Times New Roman" w:eastAsia="仿宋_GB2312" w:cs="Times New Roman"/>
                <w:sz w:val="30"/>
                <w:szCs w:val="30"/>
              </w:rPr>
              <w:t>022</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月开工建设，2</w:t>
            </w:r>
            <w:r>
              <w:rPr>
                <w:rFonts w:ascii="Times New Roman" w:hAnsi="Times New Roman" w:eastAsia="仿宋_GB2312" w:cs="Times New Roman"/>
                <w:sz w:val="30"/>
                <w:szCs w:val="30"/>
              </w:rPr>
              <w:t>024</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月建成完工。项目总投资为</w:t>
            </w:r>
            <w:r>
              <w:rPr>
                <w:rFonts w:ascii="Times New Roman" w:hAnsi="Times New Roman" w:eastAsia="仿宋_GB2312" w:cs="Times New Roman"/>
                <w:sz w:val="30"/>
                <w:szCs w:val="30"/>
              </w:rPr>
              <w:t>18000</w:t>
            </w:r>
            <w:r>
              <w:rPr>
                <w:rFonts w:hint="eastAsia" w:ascii="Times New Roman" w:hAnsi="Times New Roman" w:eastAsia="仿宋_GB2312" w:cs="Times New Roman"/>
                <w:sz w:val="30"/>
                <w:szCs w:val="30"/>
              </w:rPr>
              <w:t>万元，其中土建投资</w:t>
            </w:r>
            <w:r>
              <w:rPr>
                <w:rFonts w:ascii="Times New Roman" w:hAnsi="Times New Roman" w:eastAsia="仿宋_GB2312" w:cs="Times New Roman"/>
                <w:sz w:val="30"/>
                <w:szCs w:val="30"/>
              </w:rPr>
              <w:t>15300</w:t>
            </w:r>
            <w:r>
              <w:rPr>
                <w:rFonts w:hint="eastAsia" w:ascii="Times New Roman" w:hAnsi="Times New Roman" w:eastAsia="仿宋_GB2312" w:cs="Times New Roman"/>
                <w:sz w:val="30"/>
                <w:szCs w:val="30"/>
              </w:rPr>
              <w:t>万元</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（二）水土保持方案批复情况</w:t>
            </w:r>
            <w:r>
              <w:rPr>
                <w:rFonts w:hint="eastAsia" w:ascii="Times New Roman" w:hAnsi="Times New Roman" w:eastAsia="仿宋_GB2312" w:cs="Times New Roman"/>
                <w:sz w:val="30"/>
                <w:szCs w:val="30"/>
              </w:rPr>
              <w:t>（含变更）</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022</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7</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29</w:t>
            </w:r>
            <w:r>
              <w:rPr>
                <w:rFonts w:hint="eastAsia" w:ascii="Times New Roman" w:hAnsi="Times New Roman" w:eastAsia="仿宋_GB2312" w:cs="Times New Roman"/>
                <w:sz w:val="30"/>
                <w:szCs w:val="30"/>
              </w:rPr>
              <w:t>日，天津市津南区行政审批局对《乳酸、聚乳酸工艺研发及设备制造项目水土保持方案报告表》进行了批复。批复主要内容如下：</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本项目水土保持防治责任范围</w:t>
            </w:r>
            <w:r>
              <w:rPr>
                <w:rFonts w:ascii="Times New Roman" w:hAnsi="Times New Roman" w:eastAsia="仿宋_GB2312" w:cs="Times New Roman"/>
                <w:sz w:val="30"/>
                <w:szCs w:val="30"/>
              </w:rPr>
              <w:t>3.79</w:t>
            </w:r>
            <w:r>
              <w:rPr>
                <w:rFonts w:hint="eastAsia" w:ascii="Times New Roman" w:hAnsi="Times New Roman" w:eastAsia="仿宋_GB2312" w:cs="Times New Roman"/>
                <w:sz w:val="30"/>
                <w:szCs w:val="30"/>
              </w:rPr>
              <w:t xml:space="preserve"> h</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，水土保持总投资1</w:t>
            </w:r>
            <w:r>
              <w:rPr>
                <w:rFonts w:ascii="Times New Roman" w:hAnsi="Times New Roman" w:eastAsia="仿宋_GB2312" w:cs="Times New Roman"/>
                <w:sz w:val="30"/>
                <w:szCs w:val="30"/>
              </w:rPr>
              <w:t>69.23</w:t>
            </w:r>
            <w:r>
              <w:rPr>
                <w:rFonts w:hint="eastAsia" w:ascii="Times New Roman" w:hAnsi="Times New Roman" w:eastAsia="仿宋_GB2312" w:cs="Times New Roman"/>
                <w:sz w:val="30"/>
                <w:szCs w:val="30"/>
              </w:rPr>
              <w:t>万元，其中工程措施费</w:t>
            </w:r>
            <w:r>
              <w:rPr>
                <w:rFonts w:ascii="Times New Roman" w:hAnsi="Times New Roman" w:eastAsia="仿宋_GB2312" w:cs="Times New Roman"/>
                <w:sz w:val="30"/>
                <w:szCs w:val="30"/>
              </w:rPr>
              <w:t>23.91</w:t>
            </w:r>
            <w:r>
              <w:rPr>
                <w:rFonts w:hint="eastAsia" w:ascii="Times New Roman" w:hAnsi="Times New Roman" w:eastAsia="仿宋_GB2312" w:cs="Times New Roman"/>
                <w:sz w:val="30"/>
                <w:szCs w:val="30"/>
              </w:rPr>
              <w:t>万元，植物措施费</w:t>
            </w:r>
            <w:r>
              <w:rPr>
                <w:rFonts w:ascii="Times New Roman" w:hAnsi="Times New Roman" w:eastAsia="仿宋_GB2312" w:cs="Times New Roman"/>
                <w:sz w:val="30"/>
                <w:szCs w:val="30"/>
              </w:rPr>
              <w:t>59.62</w:t>
            </w:r>
            <w:r>
              <w:rPr>
                <w:rFonts w:hint="eastAsia" w:ascii="Times New Roman" w:hAnsi="Times New Roman" w:eastAsia="仿宋_GB2312" w:cs="Times New Roman"/>
                <w:sz w:val="30"/>
                <w:szCs w:val="30"/>
              </w:rPr>
              <w:t>万元，临时措施费</w:t>
            </w:r>
            <w:r>
              <w:rPr>
                <w:rFonts w:ascii="Times New Roman" w:hAnsi="Times New Roman" w:eastAsia="仿宋_GB2312" w:cs="Times New Roman"/>
                <w:sz w:val="30"/>
                <w:szCs w:val="30"/>
              </w:rPr>
              <w:t>50.44</w:t>
            </w:r>
            <w:r>
              <w:rPr>
                <w:rFonts w:hint="eastAsia" w:ascii="Times New Roman" w:hAnsi="Times New Roman" w:eastAsia="仿宋_GB2312" w:cs="Times New Roman"/>
                <w:sz w:val="30"/>
                <w:szCs w:val="30"/>
              </w:rPr>
              <w:t>万元，独立费2</w:t>
            </w:r>
            <w:r>
              <w:rPr>
                <w:rFonts w:ascii="Times New Roman" w:hAnsi="Times New Roman" w:eastAsia="仿宋_GB2312" w:cs="Times New Roman"/>
                <w:sz w:val="30"/>
                <w:szCs w:val="30"/>
              </w:rPr>
              <w:t>0.68</w:t>
            </w:r>
            <w:r>
              <w:rPr>
                <w:rFonts w:hint="eastAsia" w:ascii="Times New Roman" w:hAnsi="Times New Roman" w:eastAsia="仿宋_GB2312" w:cs="Times New Roman"/>
                <w:sz w:val="30"/>
                <w:szCs w:val="30"/>
              </w:rPr>
              <w:t>万元，预备费</w:t>
            </w:r>
            <w:r>
              <w:rPr>
                <w:rFonts w:ascii="Times New Roman" w:hAnsi="Times New Roman" w:eastAsia="仿宋_GB2312" w:cs="Times New Roman"/>
                <w:sz w:val="30"/>
                <w:szCs w:val="30"/>
              </w:rPr>
              <w:t>9.28 万元，</w:t>
            </w:r>
            <w:r>
              <w:rPr>
                <w:rFonts w:hint="eastAsia" w:ascii="Times New Roman" w:hAnsi="Times New Roman" w:eastAsia="仿宋_GB2312" w:cs="Times New Roman"/>
                <w:sz w:val="30"/>
                <w:szCs w:val="30"/>
              </w:rPr>
              <w:t>水土保持补偿费</w:t>
            </w:r>
            <w:r>
              <w:rPr>
                <w:rFonts w:ascii="Times New Roman" w:hAnsi="Times New Roman" w:eastAsia="仿宋_GB2312" w:cs="Times New Roman"/>
                <w:sz w:val="30"/>
                <w:szCs w:val="30"/>
              </w:rPr>
              <w:t>5.30</w:t>
            </w:r>
            <w:r>
              <w:rPr>
                <w:rFonts w:hint="eastAsia" w:ascii="Times New Roman" w:hAnsi="Times New Roman" w:eastAsia="仿宋_GB2312" w:cs="Times New Roman"/>
                <w:sz w:val="30"/>
                <w:szCs w:val="30"/>
              </w:rPr>
              <w:t>元。</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w:t>
            </w:r>
            <w:r>
              <w:rPr>
                <w:rFonts w:ascii="Times New Roman" w:hAnsi="Times New Roman" w:eastAsia="仿宋_GB2312" w:cs="Times New Roman"/>
                <w:sz w:val="30"/>
                <w:szCs w:val="30"/>
              </w:rPr>
              <w:t>水土保持</w:t>
            </w:r>
            <w:r>
              <w:rPr>
                <w:rFonts w:hint="eastAsia" w:ascii="Times New Roman" w:hAnsi="Times New Roman" w:eastAsia="仿宋_GB2312" w:cs="Times New Roman"/>
                <w:sz w:val="30"/>
                <w:szCs w:val="30"/>
              </w:rPr>
              <w:t>方案无变更。</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（三）水土保持</w:t>
            </w:r>
            <w:r>
              <w:rPr>
                <w:rFonts w:hint="eastAsia" w:ascii="Times New Roman" w:hAnsi="Times New Roman" w:eastAsia="仿宋_GB2312" w:cs="Times New Roman"/>
                <w:sz w:val="30"/>
                <w:szCs w:val="30"/>
              </w:rPr>
              <w:t>初步设计或施工图设计情况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本项目部分水土保持初步设计和施工图设计涵盖在主体工程设计中。</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（四）水土保持监测情况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2022年9月，建设单位委托</w:t>
            </w:r>
            <w:r>
              <w:rPr>
                <w:rFonts w:hint="eastAsia" w:ascii="Times New Roman" w:hAnsi="Times New Roman" w:eastAsia="仿宋_GB2312" w:cs="Times New Roman"/>
                <w:sz w:val="30"/>
                <w:szCs w:val="30"/>
              </w:rPr>
              <w:t>天津津水泓源工程咨询有限公司</w:t>
            </w:r>
            <w:r>
              <w:rPr>
                <w:rFonts w:ascii="Times New Roman" w:hAnsi="Times New Roman" w:eastAsia="仿宋_GB2312" w:cs="Times New Roman"/>
                <w:sz w:val="30"/>
                <w:szCs w:val="30"/>
              </w:rPr>
              <w:t>开展</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水土保持监测</w:t>
            </w:r>
            <w:r>
              <w:rPr>
                <w:rFonts w:hint="eastAsia" w:ascii="Times New Roman" w:hAnsi="Times New Roman" w:eastAsia="仿宋_GB2312" w:cs="Times New Roman"/>
                <w:sz w:val="30"/>
                <w:szCs w:val="30"/>
              </w:rPr>
              <w:t>。根据《生产建设项目水土保持监测与评价标准》</w:t>
            </w:r>
            <w:r>
              <w:rPr>
                <w:rFonts w:ascii="Times New Roman" w:hAnsi="Times New Roman" w:eastAsia="仿宋_GB2312" w:cs="Times New Roman"/>
                <w:sz w:val="30"/>
                <w:szCs w:val="30"/>
              </w:rPr>
              <w:t>(GB/T 51240-2018)的规定，监测单位结合本项工程特点，</w:t>
            </w:r>
            <w:r>
              <w:rPr>
                <w:rFonts w:hint="eastAsia" w:ascii="Times New Roman" w:hAnsi="Times New Roman" w:eastAsia="仿宋_GB2312" w:cs="Times New Roman"/>
                <w:sz w:val="30"/>
                <w:szCs w:val="30"/>
              </w:rPr>
              <w:t>采用实地调查监测、资料分析、无人机遥感对</w:t>
            </w:r>
            <w:r>
              <w:rPr>
                <w:rFonts w:ascii="Times New Roman" w:hAnsi="Times New Roman" w:eastAsia="仿宋_GB2312" w:cs="Times New Roman"/>
                <w:sz w:val="30"/>
                <w:szCs w:val="30"/>
              </w:rPr>
              <w:t>项目的背景值监测、扰动土地情况监测、临时堆土监测、水土流失情况监测和水土保持措施开展了监测</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本项目监测防治责任范围</w:t>
            </w: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.79hm²</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水土保持监测主要结论为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落实的水土保持措施基本控制和减少了施工过程中的水土流失，水土流失防治指标基本达到了水土保持方案确定的目标值，其中，水土流失治理度为99.87%，土壤流失控制比为1.33，</w:t>
            </w:r>
            <w:r>
              <w:rPr>
                <w:rFonts w:hint="eastAsia" w:ascii="Times New Roman" w:hAnsi="Times New Roman" w:eastAsia="仿宋_GB2312" w:cs="Times New Roman"/>
                <w:sz w:val="30"/>
                <w:szCs w:val="30"/>
              </w:rPr>
              <w:t>渣土防护</w:t>
            </w:r>
            <w:r>
              <w:rPr>
                <w:rFonts w:ascii="Times New Roman" w:hAnsi="Times New Roman" w:eastAsia="仿宋_GB2312" w:cs="Times New Roman"/>
                <w:sz w:val="30"/>
                <w:szCs w:val="30"/>
              </w:rPr>
              <w:t>率100%，</w:t>
            </w:r>
            <w:r>
              <w:rPr>
                <w:rFonts w:hint="eastAsia" w:ascii="Times New Roman" w:hAnsi="Times New Roman" w:eastAsia="仿宋_GB2312" w:cs="Times New Roman"/>
                <w:sz w:val="30"/>
                <w:szCs w:val="30"/>
              </w:rPr>
              <w:t>表土保护率不涉及，</w:t>
            </w:r>
            <w:r>
              <w:rPr>
                <w:rFonts w:ascii="Times New Roman" w:hAnsi="Times New Roman" w:eastAsia="仿宋_GB2312" w:cs="Times New Roman"/>
                <w:sz w:val="30"/>
                <w:szCs w:val="30"/>
              </w:rPr>
              <w:t>林草植被恢复率为99.39%，林草覆盖率为21.50%。</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验收报告编制</w:t>
            </w:r>
            <w:r>
              <w:rPr>
                <w:rFonts w:ascii="Times New Roman" w:hAnsi="Times New Roman" w:eastAsia="仿宋_GB2312" w:cs="Times New Roman"/>
                <w:sz w:val="30"/>
                <w:szCs w:val="30"/>
              </w:rPr>
              <w:t>情况</w:t>
            </w:r>
            <w:r>
              <w:rPr>
                <w:rFonts w:hint="eastAsia" w:ascii="Times New Roman" w:hAnsi="Times New Roman" w:eastAsia="仿宋_GB2312" w:cs="Times New Roman"/>
                <w:sz w:val="30"/>
                <w:szCs w:val="30"/>
              </w:rPr>
              <w:t>和主要结论</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2023年12月，建设单位委托</w:t>
            </w:r>
            <w:r>
              <w:rPr>
                <w:rFonts w:hint="eastAsia" w:ascii="Times New Roman" w:hAnsi="Times New Roman" w:eastAsia="仿宋_GB2312" w:cs="Times New Roman"/>
                <w:sz w:val="30"/>
                <w:szCs w:val="30"/>
              </w:rPr>
              <w:t>天津津水泓源工程咨询有限公司</w:t>
            </w:r>
            <w:r>
              <w:rPr>
                <w:rFonts w:ascii="Times New Roman" w:hAnsi="Times New Roman" w:eastAsia="仿宋_GB2312" w:cs="Times New Roman"/>
                <w:sz w:val="30"/>
                <w:szCs w:val="30"/>
              </w:rPr>
              <w:t>开展了水土保持设施验收报告</w:t>
            </w:r>
            <w:r>
              <w:rPr>
                <w:rFonts w:hint="eastAsia" w:ascii="Times New Roman" w:hAnsi="Times New Roman" w:eastAsia="仿宋_GB2312" w:cs="Times New Roman"/>
                <w:sz w:val="30"/>
                <w:szCs w:val="30"/>
              </w:rPr>
              <w:t>编制工作；天津津水泓源工程咨询有限公司通过现场核查，收集并查阅设计、施工、监理和监测等相关资料，在确定水土保持措施落实、防治效果及其工作程序满足批复的水土保持方案要求后，于</w:t>
            </w:r>
            <w:r>
              <w:rPr>
                <w:rFonts w:ascii="Times New Roman" w:hAnsi="Times New Roman" w:eastAsia="仿宋_GB2312" w:cs="Times New Roman"/>
                <w:sz w:val="30"/>
                <w:szCs w:val="30"/>
              </w:rPr>
              <w:t>2024年1月编制完成《</w:t>
            </w:r>
            <w:r>
              <w:rPr>
                <w:rFonts w:hint="eastAsia" w:ascii="Times New Roman" w:hAnsi="Times New Roman" w:eastAsia="仿宋_GB2312" w:cs="Times New Roman"/>
                <w:sz w:val="30"/>
                <w:szCs w:val="30"/>
              </w:rPr>
              <w:t>乳酸、聚乳酸工艺研发及设备制造项目</w:t>
            </w:r>
            <w:r>
              <w:rPr>
                <w:rFonts w:ascii="Times New Roman" w:hAnsi="Times New Roman" w:eastAsia="仿宋_GB2312" w:cs="Times New Roman"/>
                <w:sz w:val="30"/>
                <w:szCs w:val="30"/>
              </w:rPr>
              <w:t>水土保持设施验收报告》，主要结论为：建设单位编报了水土保持方案，开展了水土保持监理、监测工作；</w:t>
            </w:r>
            <w:r>
              <w:rPr>
                <w:rFonts w:hint="eastAsia" w:ascii="Times New Roman" w:hAnsi="Times New Roman" w:eastAsia="仿宋_GB2312" w:cs="Times New Roman"/>
                <w:sz w:val="30"/>
                <w:szCs w:val="30"/>
              </w:rPr>
              <w:t>水土保持程序完整；水土流失防治指标达到水土保持方案确定的目标值，水土流失防治任务完成；水土保持措施质量总体合格，水土保持设施运行基本正常；水土保持后续管理维护责任落实；项目水土保持设施具备验收条件</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六</w:t>
            </w:r>
            <w:r>
              <w:rPr>
                <w:rFonts w:ascii="Times New Roman" w:hAnsi="Times New Roman" w:eastAsia="仿宋_GB2312" w:cs="Times New Roman"/>
                <w:sz w:val="30"/>
                <w:szCs w:val="30"/>
              </w:rPr>
              <w:t>）验收结论</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综上所述，验收组认为：该项目实施过程中基本落实了水土保持方案批复文件要求，基本完成了水土流失预防和治理任务，水土流失防治指标达到水土保持方案确定的目标值，符合水土保持设施验收的条件，同意该项目水土保持设施通过验收。</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七</w:t>
            </w:r>
            <w:r>
              <w:rPr>
                <w:rFonts w:ascii="Times New Roman" w:hAnsi="Times New Roman" w:eastAsia="仿宋_GB2312" w:cs="Times New Roman"/>
                <w:sz w:val="30"/>
                <w:szCs w:val="30"/>
              </w:rPr>
              <w:t>）后续</w:t>
            </w:r>
            <w:r>
              <w:rPr>
                <w:rFonts w:hint="eastAsia" w:ascii="Times New Roman" w:hAnsi="Times New Roman" w:eastAsia="仿宋_GB2312" w:cs="Times New Roman"/>
                <w:sz w:val="30"/>
                <w:szCs w:val="30"/>
              </w:rPr>
              <w:t>管护</w:t>
            </w:r>
            <w:r>
              <w:rPr>
                <w:rFonts w:ascii="Times New Roman" w:hAnsi="Times New Roman" w:eastAsia="仿宋_GB2312" w:cs="Times New Roman"/>
                <w:sz w:val="30"/>
                <w:szCs w:val="30"/>
              </w:rPr>
              <w:t>要求</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工程建成后，本项目水土保持设施的管理和维护工作由欧尚元（天津）有限公司  负责。要求管护单位加强水土保持设施管护，确保发挥综合治理效益。</w:t>
            </w:r>
          </w:p>
          <w:p>
            <w:pPr>
              <w:adjustRightInd w:val="0"/>
              <w:snapToGrid w:val="0"/>
              <w:spacing w:line="360" w:lineRule="auto"/>
              <w:ind w:firstLine="600" w:firstLineChars="200"/>
              <w:rPr>
                <w:rFonts w:ascii="Times New Roman" w:hAnsi="Times New Roman" w:eastAsia="仿宋_GB2312" w:cs="Times New Roman"/>
                <w:color w:val="FF0000"/>
                <w:sz w:val="30"/>
                <w:szCs w:val="30"/>
              </w:rPr>
            </w:pPr>
          </w:p>
        </w:tc>
      </w:tr>
    </w:tbl>
    <w:p>
      <w:pPr>
        <w:spacing w:line="360" w:lineRule="auto"/>
        <w:rPr>
          <w:rFonts w:ascii="Times New Roman" w:hAnsi="Times New Roman" w:eastAsia="宋体" w:cs="Times New Roman"/>
          <w:b/>
          <w:color w:val="FF0000"/>
          <w:sz w:val="28"/>
          <w:szCs w:val="28"/>
        </w:rPr>
        <w:sectPr>
          <w:pgSz w:w="11906" w:h="16838"/>
          <w:pgMar w:top="1440" w:right="1800" w:bottom="1440" w:left="1800" w:header="851" w:footer="992" w:gutter="0"/>
          <w:cols w:space="425" w:num="1"/>
          <w:docGrid w:type="lines" w:linePitch="312" w:charSpace="0"/>
        </w:sectPr>
      </w:pPr>
    </w:p>
    <w:p>
      <w:pPr>
        <w:spacing w:line="360" w:lineRule="auto"/>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三、验收组成员签字表</w:t>
      </w:r>
    </w:p>
    <w:tbl>
      <w:tblPr>
        <w:tblStyle w:val="7"/>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11"/>
        <w:gridCol w:w="2287"/>
        <w:gridCol w:w="1276"/>
        <w:gridCol w:w="1389"/>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98"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分工</w:t>
            </w:r>
          </w:p>
        </w:tc>
        <w:tc>
          <w:tcPr>
            <w:tcW w:w="1111"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2287"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单位</w:t>
            </w:r>
          </w:p>
        </w:tc>
        <w:tc>
          <w:tcPr>
            <w:tcW w:w="1276" w:type="dxa"/>
            <w:vAlign w:val="center"/>
          </w:tcPr>
          <w:p>
            <w:pPr>
              <w:snapToGrid w:val="0"/>
              <w:jc w:val="center"/>
              <w:rPr>
                <w:rFonts w:ascii="仿宋" w:hAnsi="仿宋" w:eastAsia="仿宋" w:cs="Times New Roman"/>
                <w:b/>
                <w:spacing w:val="-4"/>
                <w:sz w:val="24"/>
                <w:szCs w:val="24"/>
              </w:rPr>
            </w:pPr>
            <w:r>
              <w:rPr>
                <w:rFonts w:hint="eastAsia" w:ascii="仿宋" w:hAnsi="仿宋" w:eastAsia="仿宋" w:cs="Times New Roman"/>
                <w:b/>
                <w:spacing w:val="-4"/>
                <w:sz w:val="24"/>
                <w:szCs w:val="24"/>
              </w:rPr>
              <w:t>职务/职称</w:t>
            </w:r>
          </w:p>
        </w:tc>
        <w:tc>
          <w:tcPr>
            <w:tcW w:w="1389"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签字</w:t>
            </w:r>
          </w:p>
        </w:tc>
        <w:tc>
          <w:tcPr>
            <w:tcW w:w="1515"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组长</w:t>
            </w: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苏鑫</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欧尚元（天津）有限公司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项目负责人</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restart"/>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张占奎</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天津津水泓源工程咨询有限公司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验收报告编制单位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米玉彬</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天津津水泓源工程咨询有限公司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监测单位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翟宝禄</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天津国际工程建设监理有限公司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总监</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监理单位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郭娜</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天津津水泓源工程咨询有限公司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水土保持方案编制单位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韩永坤</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中国建筑第六工程局有限公司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项目经理</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施工单位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color w:val="FF0000"/>
                <w:sz w:val="24"/>
                <w:szCs w:val="24"/>
              </w:rPr>
            </w:pPr>
          </w:p>
        </w:tc>
        <w:tc>
          <w:tcPr>
            <w:tcW w:w="1111" w:type="dxa"/>
            <w:vAlign w:val="center"/>
          </w:tcPr>
          <w:p>
            <w:pPr>
              <w:snapToGri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李志福</w:t>
            </w:r>
          </w:p>
        </w:tc>
        <w:tc>
          <w:tcPr>
            <w:tcW w:w="2287" w:type="dxa"/>
            <w:vAlign w:val="center"/>
          </w:tcPr>
          <w:p>
            <w:pPr>
              <w:snapToGri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退休</w:t>
            </w:r>
          </w:p>
        </w:tc>
        <w:tc>
          <w:tcPr>
            <w:tcW w:w="1276" w:type="dxa"/>
            <w:vAlign w:val="center"/>
          </w:tcPr>
          <w:p>
            <w:pPr>
              <w:snapToGri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教高</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特邀专家</w:t>
            </w:r>
          </w:p>
        </w:tc>
      </w:tr>
    </w:tbl>
    <w:p>
      <w:pPr>
        <w:spacing w:line="360" w:lineRule="auto"/>
        <w:rPr>
          <w:rFonts w:ascii="Times New Roman" w:hAnsi="Times New Roman" w:eastAsia="宋体" w:cs="Times New Roman"/>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2ZDYxZmFhNWI5MTQ1ZmIwYzBkYTkzNTg0ZTNlZDYifQ=="/>
  </w:docVars>
  <w:rsids>
    <w:rsidRoot w:val="006544F7"/>
    <w:rsid w:val="0001079C"/>
    <w:rsid w:val="00014309"/>
    <w:rsid w:val="000218F3"/>
    <w:rsid w:val="00044A2F"/>
    <w:rsid w:val="000535E2"/>
    <w:rsid w:val="00066222"/>
    <w:rsid w:val="00072CCC"/>
    <w:rsid w:val="000B53B3"/>
    <w:rsid w:val="000B789C"/>
    <w:rsid w:val="000E24AB"/>
    <w:rsid w:val="00107353"/>
    <w:rsid w:val="00112879"/>
    <w:rsid w:val="00116F3C"/>
    <w:rsid w:val="00123CE1"/>
    <w:rsid w:val="00140BA1"/>
    <w:rsid w:val="001428D1"/>
    <w:rsid w:val="00153328"/>
    <w:rsid w:val="00165EEC"/>
    <w:rsid w:val="00167D10"/>
    <w:rsid w:val="0018098C"/>
    <w:rsid w:val="00183CAF"/>
    <w:rsid w:val="001B5E24"/>
    <w:rsid w:val="001C22B0"/>
    <w:rsid w:val="001C6832"/>
    <w:rsid w:val="001F30D1"/>
    <w:rsid w:val="001F375D"/>
    <w:rsid w:val="001F79FF"/>
    <w:rsid w:val="00202E61"/>
    <w:rsid w:val="00203218"/>
    <w:rsid w:val="00211341"/>
    <w:rsid w:val="0022664C"/>
    <w:rsid w:val="0025475D"/>
    <w:rsid w:val="002655F2"/>
    <w:rsid w:val="00267C59"/>
    <w:rsid w:val="00291B4A"/>
    <w:rsid w:val="002A4F3D"/>
    <w:rsid w:val="002B2781"/>
    <w:rsid w:val="002C08FD"/>
    <w:rsid w:val="002D232F"/>
    <w:rsid w:val="0030594D"/>
    <w:rsid w:val="003118BB"/>
    <w:rsid w:val="003174EE"/>
    <w:rsid w:val="00323F41"/>
    <w:rsid w:val="00327907"/>
    <w:rsid w:val="00330980"/>
    <w:rsid w:val="0035466B"/>
    <w:rsid w:val="003554FA"/>
    <w:rsid w:val="00357D00"/>
    <w:rsid w:val="00366A9B"/>
    <w:rsid w:val="0036786F"/>
    <w:rsid w:val="003721DC"/>
    <w:rsid w:val="00385CB6"/>
    <w:rsid w:val="003B4266"/>
    <w:rsid w:val="003F048C"/>
    <w:rsid w:val="003F242C"/>
    <w:rsid w:val="00401055"/>
    <w:rsid w:val="0041563A"/>
    <w:rsid w:val="004378CE"/>
    <w:rsid w:val="00457F59"/>
    <w:rsid w:val="00476515"/>
    <w:rsid w:val="004D79D8"/>
    <w:rsid w:val="004D7DC2"/>
    <w:rsid w:val="004F781B"/>
    <w:rsid w:val="00500528"/>
    <w:rsid w:val="00524427"/>
    <w:rsid w:val="00531FD3"/>
    <w:rsid w:val="005323A4"/>
    <w:rsid w:val="0054590C"/>
    <w:rsid w:val="00553236"/>
    <w:rsid w:val="00553ADA"/>
    <w:rsid w:val="00562476"/>
    <w:rsid w:val="005909F4"/>
    <w:rsid w:val="005A70AE"/>
    <w:rsid w:val="005C16BD"/>
    <w:rsid w:val="005E3112"/>
    <w:rsid w:val="005E7DF8"/>
    <w:rsid w:val="00602ACC"/>
    <w:rsid w:val="00603CF2"/>
    <w:rsid w:val="006176DF"/>
    <w:rsid w:val="00650500"/>
    <w:rsid w:val="006544F7"/>
    <w:rsid w:val="006652B6"/>
    <w:rsid w:val="0067201F"/>
    <w:rsid w:val="00676051"/>
    <w:rsid w:val="006B69D0"/>
    <w:rsid w:val="006C1084"/>
    <w:rsid w:val="006C5E85"/>
    <w:rsid w:val="006D0C1D"/>
    <w:rsid w:val="006D5EE7"/>
    <w:rsid w:val="006F4BEE"/>
    <w:rsid w:val="006F5474"/>
    <w:rsid w:val="00702025"/>
    <w:rsid w:val="0071284C"/>
    <w:rsid w:val="00715444"/>
    <w:rsid w:val="00721CCD"/>
    <w:rsid w:val="00726C8B"/>
    <w:rsid w:val="00732286"/>
    <w:rsid w:val="00743533"/>
    <w:rsid w:val="00751026"/>
    <w:rsid w:val="007708B5"/>
    <w:rsid w:val="00776634"/>
    <w:rsid w:val="0077779F"/>
    <w:rsid w:val="007B7D9B"/>
    <w:rsid w:val="007E1EB8"/>
    <w:rsid w:val="007E43A8"/>
    <w:rsid w:val="007E5843"/>
    <w:rsid w:val="007F02C4"/>
    <w:rsid w:val="007F66FD"/>
    <w:rsid w:val="00806B17"/>
    <w:rsid w:val="008225EE"/>
    <w:rsid w:val="00831770"/>
    <w:rsid w:val="00832173"/>
    <w:rsid w:val="00833A40"/>
    <w:rsid w:val="00843611"/>
    <w:rsid w:val="008578D3"/>
    <w:rsid w:val="00861B69"/>
    <w:rsid w:val="00864F4A"/>
    <w:rsid w:val="008E31C1"/>
    <w:rsid w:val="008F5EE8"/>
    <w:rsid w:val="00932AA4"/>
    <w:rsid w:val="00951770"/>
    <w:rsid w:val="009523A4"/>
    <w:rsid w:val="0096370E"/>
    <w:rsid w:val="00983957"/>
    <w:rsid w:val="009866B8"/>
    <w:rsid w:val="00992FCE"/>
    <w:rsid w:val="009D00B1"/>
    <w:rsid w:val="009D239A"/>
    <w:rsid w:val="009D3251"/>
    <w:rsid w:val="009E1805"/>
    <w:rsid w:val="009E65E6"/>
    <w:rsid w:val="00A01214"/>
    <w:rsid w:val="00A02418"/>
    <w:rsid w:val="00A106FF"/>
    <w:rsid w:val="00A2790C"/>
    <w:rsid w:val="00A371B8"/>
    <w:rsid w:val="00A50B5A"/>
    <w:rsid w:val="00A52247"/>
    <w:rsid w:val="00A53055"/>
    <w:rsid w:val="00A55BF3"/>
    <w:rsid w:val="00A60884"/>
    <w:rsid w:val="00A711C3"/>
    <w:rsid w:val="00A8056C"/>
    <w:rsid w:val="00A914CA"/>
    <w:rsid w:val="00A93048"/>
    <w:rsid w:val="00AA1210"/>
    <w:rsid w:val="00AE3878"/>
    <w:rsid w:val="00B02E56"/>
    <w:rsid w:val="00B13CFC"/>
    <w:rsid w:val="00B13FC0"/>
    <w:rsid w:val="00B16DC4"/>
    <w:rsid w:val="00B20B00"/>
    <w:rsid w:val="00B22F35"/>
    <w:rsid w:val="00B353F5"/>
    <w:rsid w:val="00B468C1"/>
    <w:rsid w:val="00B50EF0"/>
    <w:rsid w:val="00B66C3B"/>
    <w:rsid w:val="00B67FA6"/>
    <w:rsid w:val="00BA2B0C"/>
    <w:rsid w:val="00BA3202"/>
    <w:rsid w:val="00BA7D7B"/>
    <w:rsid w:val="00BB0EB2"/>
    <w:rsid w:val="00BB4F36"/>
    <w:rsid w:val="00BB6F66"/>
    <w:rsid w:val="00BC1844"/>
    <w:rsid w:val="00BE7752"/>
    <w:rsid w:val="00BF49F9"/>
    <w:rsid w:val="00C02383"/>
    <w:rsid w:val="00C17D06"/>
    <w:rsid w:val="00C2270E"/>
    <w:rsid w:val="00C31D44"/>
    <w:rsid w:val="00C43ADD"/>
    <w:rsid w:val="00C46930"/>
    <w:rsid w:val="00C46D63"/>
    <w:rsid w:val="00C57C57"/>
    <w:rsid w:val="00C912F0"/>
    <w:rsid w:val="00C9671E"/>
    <w:rsid w:val="00CA6856"/>
    <w:rsid w:val="00CB33EB"/>
    <w:rsid w:val="00CD13C5"/>
    <w:rsid w:val="00CE2E5C"/>
    <w:rsid w:val="00CE4392"/>
    <w:rsid w:val="00D03CB7"/>
    <w:rsid w:val="00D06947"/>
    <w:rsid w:val="00D10AF1"/>
    <w:rsid w:val="00D21FE0"/>
    <w:rsid w:val="00D30E3B"/>
    <w:rsid w:val="00D532BF"/>
    <w:rsid w:val="00D618DB"/>
    <w:rsid w:val="00D70F5B"/>
    <w:rsid w:val="00D75757"/>
    <w:rsid w:val="00D85415"/>
    <w:rsid w:val="00DB1D02"/>
    <w:rsid w:val="00DC0AC6"/>
    <w:rsid w:val="00DD170F"/>
    <w:rsid w:val="00DE0378"/>
    <w:rsid w:val="00E02F6E"/>
    <w:rsid w:val="00E1445A"/>
    <w:rsid w:val="00E15263"/>
    <w:rsid w:val="00E317AA"/>
    <w:rsid w:val="00E32B33"/>
    <w:rsid w:val="00E404C5"/>
    <w:rsid w:val="00E70CA6"/>
    <w:rsid w:val="00E808A9"/>
    <w:rsid w:val="00E9032C"/>
    <w:rsid w:val="00E91E81"/>
    <w:rsid w:val="00EA7E84"/>
    <w:rsid w:val="00EB2EF2"/>
    <w:rsid w:val="00EB729D"/>
    <w:rsid w:val="00EC242C"/>
    <w:rsid w:val="00EC6EBC"/>
    <w:rsid w:val="00ED738F"/>
    <w:rsid w:val="00EE0DD7"/>
    <w:rsid w:val="00EE11A1"/>
    <w:rsid w:val="00F02777"/>
    <w:rsid w:val="00F06A39"/>
    <w:rsid w:val="00F27E59"/>
    <w:rsid w:val="00F3796E"/>
    <w:rsid w:val="00F617C4"/>
    <w:rsid w:val="00FA1C43"/>
    <w:rsid w:val="00FA7471"/>
    <w:rsid w:val="00FB0154"/>
    <w:rsid w:val="00FB6207"/>
    <w:rsid w:val="00FC2CA4"/>
    <w:rsid w:val="00FC2F50"/>
    <w:rsid w:val="00FC43AF"/>
    <w:rsid w:val="00FD29F3"/>
    <w:rsid w:val="00FE7F0B"/>
    <w:rsid w:val="392F1E02"/>
    <w:rsid w:val="40C25B8B"/>
    <w:rsid w:val="612133E8"/>
    <w:rsid w:val="6A475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2"/>
    <w:semiHidden/>
    <w:qFormat/>
    <w:uiPriority w:val="99"/>
  </w:style>
  <w:style w:type="character" w:customStyle="1" w:styleId="12">
    <w:name w:val="批注框文本 字符"/>
    <w:basedOn w:val="8"/>
    <w:link w:val="3"/>
    <w:semiHidden/>
    <w:qFormat/>
    <w:uiPriority w:val="99"/>
    <w:rPr>
      <w:sz w:val="18"/>
      <w:szCs w:val="18"/>
    </w:rPr>
  </w:style>
  <w:style w:type="character" w:customStyle="1" w:styleId="13">
    <w:name w:val="样式 宋体 12 磅"/>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421</Words>
  <Characters>2406</Characters>
  <Lines>20</Lines>
  <Paragraphs>5</Paragraphs>
  <TotalTime>70</TotalTime>
  <ScaleCrop>false</ScaleCrop>
  <LinksUpToDate>false</LinksUpToDate>
  <CharactersWithSpaces>2822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2018-05-28T06:01:00Z</dcterms:created>
  <dc:creator>Administrator</dc:creator>
  <cp:lastModifiedBy>小米</cp:lastModifiedBy>
  <cp:lastPrinted>2024-02-06T06:58:21Z</cp:lastPrinted>
  <dcterms:modified xsi:type="dcterms:W3CDTF">2024-02-06T06:58:46Z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5DD1924726BB47B592A7040B14161D37_12</vt:lpwstr>
  </property>
</Properties>
</file>